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8F24BC" w:rsidRPr="00D07504" w:rsidRDefault="00D07504" w:rsidP="007D5B7E">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w:t>
      </w:r>
      <w:bookmarkStart w:id="0" w:name="_GoBack"/>
      <w:bookmarkEnd w:id="0"/>
      <w:r w:rsidR="008F24BC" w:rsidRPr="00D07504">
        <w:rPr>
          <w:rFonts w:ascii="Times New Roman" w:hAnsi="Times New Roman" w:cs="Times New Roman"/>
          <w:bCs/>
          <w:iCs/>
          <w:sz w:val="24"/>
          <w:szCs w:val="24"/>
        </w:rPr>
        <w:t>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proofErr w:type="gramStart"/>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roofErr w:type="gramEnd"/>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A22667" w:rsidRDefault="008F24BC" w:rsidP="003F76A4">
      <w:pPr>
        <w:autoSpaceDE w:val="0"/>
        <w:autoSpaceDN w:val="0"/>
        <w:adjustRightInd w:val="0"/>
        <w:spacing w:after="0" w:line="240" w:lineRule="auto"/>
        <w:ind w:firstLine="709"/>
        <w:jc w:val="both"/>
        <w:rPr>
          <w:rFonts w:ascii="Times New Roman" w:hAnsi="Times New Roman" w:cs="Times New Roman"/>
          <w:b/>
          <w:i/>
          <w:sz w:val="24"/>
          <w:szCs w:val="24"/>
          <w:u w:val="single"/>
        </w:rPr>
      </w:pPr>
      <w:r w:rsidRPr="00D07504">
        <w:rPr>
          <w:rFonts w:ascii="Times New Roman" w:hAnsi="Times New Roman" w:cs="Times New Roman"/>
          <w:sz w:val="24"/>
          <w:szCs w:val="24"/>
        </w:rPr>
        <w:t xml:space="preserve">1.1. </w:t>
      </w:r>
      <w:proofErr w:type="gramStart"/>
      <w:r w:rsidRPr="00D07504">
        <w:rPr>
          <w:rFonts w:ascii="Times New Roman" w:hAnsi="Times New Roman" w:cs="Times New Roman"/>
          <w:sz w:val="24"/>
          <w:szCs w:val="24"/>
        </w:rPr>
        <w:t>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3F76A4" w:rsidRPr="003F76A4">
        <w:rPr>
          <w:rFonts w:ascii="Times New Roman" w:hAnsi="Times New Roman" w:cs="Times New Roman"/>
          <w:sz w:val="24"/>
          <w:szCs w:val="24"/>
        </w:rPr>
        <w:t>«</w:t>
      </w:r>
      <w:r w:rsidR="003F76A4" w:rsidRPr="003F76A4">
        <w:rPr>
          <w:rFonts w:ascii="Times New Roman" w:hAnsi="Times New Roman" w:cs="Times New Roman"/>
          <w:b/>
          <w:i/>
          <w:sz w:val="24"/>
          <w:szCs w:val="24"/>
          <w:u w:val="single"/>
        </w:rPr>
        <w:t xml:space="preserve">Капитальный ремонт </w:t>
      </w:r>
      <w:r w:rsidR="004E5194" w:rsidRPr="004E5194">
        <w:rPr>
          <w:rFonts w:ascii="Times New Roman" w:hAnsi="Times New Roman" w:cs="Times New Roman"/>
          <w:b/>
          <w:bCs/>
          <w:i/>
          <w:sz w:val="24"/>
          <w:szCs w:val="24"/>
          <w:u w:val="single"/>
        </w:rPr>
        <w:t>кровли здания производственно-бытового корпуса НФС-3</w:t>
      </w:r>
      <w:r w:rsidR="004E5194" w:rsidRPr="004E5194">
        <w:rPr>
          <w:rFonts w:ascii="Times New Roman" w:hAnsi="Times New Roman" w:cs="Times New Roman"/>
          <w:b/>
          <w:bCs/>
          <w:i/>
          <w:iCs/>
          <w:sz w:val="24"/>
          <w:szCs w:val="24"/>
          <w:u w:val="single"/>
        </w:rPr>
        <w:t xml:space="preserve"> </w:t>
      </w:r>
      <w:r w:rsidR="004E5194">
        <w:rPr>
          <w:rFonts w:ascii="Times New Roman" w:hAnsi="Times New Roman" w:cs="Times New Roman"/>
          <w:b/>
          <w:bCs/>
          <w:i/>
          <w:iCs/>
          <w:sz w:val="24"/>
          <w:szCs w:val="24"/>
          <w:u w:val="single"/>
        </w:rPr>
        <w:t xml:space="preserve">(инв. № 621), </w:t>
      </w:r>
      <w:r w:rsidR="004E5194" w:rsidRPr="004E5194">
        <w:rPr>
          <w:rFonts w:ascii="Times New Roman" w:hAnsi="Times New Roman" w:cs="Times New Roman"/>
          <w:b/>
          <w:bCs/>
          <w:i/>
          <w:iCs/>
          <w:sz w:val="24"/>
          <w:szCs w:val="24"/>
          <w:u w:val="single"/>
        </w:rPr>
        <w:t xml:space="preserve"> Южное шоссе, 3А; Куйбышевский район</w:t>
      </w:r>
      <w:r w:rsidR="004E5194" w:rsidRPr="004E5194">
        <w:rPr>
          <w:rFonts w:ascii="Times New Roman" w:hAnsi="Times New Roman" w:cs="Times New Roman"/>
          <w:b/>
          <w:bCs/>
          <w:i/>
          <w:iCs/>
          <w:sz w:val="24"/>
          <w:szCs w:val="24"/>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Pr="00D07504">
        <w:rPr>
          <w:rFonts w:ascii="Times New Roman" w:hAnsi="Times New Roman" w:cs="Times New Roman"/>
          <w:bCs/>
          <w:iCs/>
          <w:sz w:val="24"/>
          <w:szCs w:val="24"/>
        </w:rPr>
        <w:t xml:space="preserve">(Приложение № </w:t>
      </w:r>
      <w:r w:rsidR="00DF5D60"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к 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roofErr w:type="gramEnd"/>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proofErr w:type="gramStart"/>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roofErr w:type="gramEnd"/>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Цена подлежащей выполнению по Договору работы определяется на основании Сметного расчета стоимости работ (Приложение № 2</w:t>
      </w:r>
      <w:r w:rsidR="00B0317A">
        <w:rPr>
          <w:rFonts w:ascii="Times New Roman" w:hAnsi="Times New Roman" w:cs="Times New Roman"/>
          <w:sz w:val="24"/>
          <w:szCs w:val="24"/>
        </w:rPr>
        <w:t xml:space="preserve"> </w:t>
      </w:r>
      <w:r w:rsidR="00656E9D" w:rsidRPr="00656E9D">
        <w:rPr>
          <w:rFonts w:ascii="Times New Roman" w:hAnsi="Times New Roman" w:cs="Times New Roman"/>
          <w:sz w:val="24"/>
          <w:szCs w:val="24"/>
        </w:rPr>
        <w:t xml:space="preserve">к Договору) и составляет </w:t>
      </w:r>
      <w:r w:rsidR="00656E9D">
        <w:rPr>
          <w:rFonts w:ascii="Times New Roman" w:hAnsi="Times New Roman" w:cs="Times New Roman"/>
          <w:b/>
          <w:sz w:val="24"/>
          <w:szCs w:val="24"/>
        </w:rPr>
        <w:t>______</w:t>
      </w:r>
      <w:r w:rsidR="00656E9D" w:rsidRPr="00656E9D">
        <w:rPr>
          <w:rFonts w:ascii="Times New Roman" w:hAnsi="Times New Roman" w:cs="Times New Roman"/>
          <w:sz w:val="24"/>
          <w:szCs w:val="24"/>
        </w:rPr>
        <w:t>(</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r w:rsidR="00656E9D" w:rsidRPr="00656E9D">
        <w:rPr>
          <w:rFonts w:ascii="Times New Roman" w:hAnsi="Times New Roman" w:cs="Times New Roman"/>
          <w:sz w:val="24"/>
          <w:szCs w:val="24"/>
        </w:rPr>
        <w:t xml:space="preserve">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копеек, кроме того НДС 20% - </w:t>
      </w:r>
      <w:r w:rsidR="006C3FC2">
        <w:rPr>
          <w:rFonts w:ascii="Times New Roman" w:hAnsi="Times New Roman" w:cs="Times New Roman"/>
          <w:b/>
          <w:sz w:val="24"/>
          <w:szCs w:val="24"/>
        </w:rPr>
        <w:t>____</w:t>
      </w:r>
      <w:r w:rsidR="00656E9D" w:rsidRPr="00656E9D">
        <w:rPr>
          <w:rFonts w:ascii="Times New Roman" w:hAnsi="Times New Roman" w:cs="Times New Roman"/>
          <w:sz w:val="24"/>
          <w:szCs w:val="24"/>
        </w:rPr>
        <w:t xml:space="preserve"> (</w:t>
      </w:r>
      <w:r w:rsidR="006C3FC2">
        <w:rPr>
          <w:rFonts w:ascii="Times New Roman" w:hAnsi="Times New Roman" w:cs="Times New Roman"/>
          <w:sz w:val="24"/>
          <w:szCs w:val="24"/>
        </w:rPr>
        <w:t>_____</w:t>
      </w:r>
      <w:r w:rsidR="00656E9D" w:rsidRPr="00656E9D">
        <w:rPr>
          <w:rFonts w:ascii="Times New Roman" w:hAnsi="Times New Roman" w:cs="Times New Roman"/>
          <w:sz w:val="24"/>
          <w:szCs w:val="24"/>
        </w:rPr>
        <w:t xml:space="preserve">) рублей </w:t>
      </w:r>
      <w:r w:rsidR="00656E9D">
        <w:rPr>
          <w:rFonts w:ascii="Times New Roman" w:hAnsi="Times New Roman" w:cs="Times New Roman"/>
          <w:sz w:val="24"/>
          <w:szCs w:val="24"/>
        </w:rPr>
        <w:t>_____</w:t>
      </w:r>
      <w:r w:rsidR="00656E9D" w:rsidRPr="00656E9D">
        <w:rPr>
          <w:rFonts w:ascii="Times New Roman" w:hAnsi="Times New Roman" w:cs="Times New Roman"/>
          <w:sz w:val="24"/>
          <w:szCs w:val="24"/>
        </w:rPr>
        <w:t xml:space="preserve"> копейки.</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proofErr w:type="gramStart"/>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w:t>
      </w:r>
      <w:proofErr w:type="gramEnd"/>
      <w:r w:rsidRPr="00D07504">
        <w:rPr>
          <w:rFonts w:ascii="Times New Roman" w:hAnsi="Times New Roman" w:cs="Times New Roman"/>
          <w:color w:val="000000" w:themeColor="text1"/>
          <w:sz w:val="24"/>
          <w:szCs w:val="24"/>
          <w:lang w:eastAsia="ru-RU"/>
        </w:rPr>
        <w:t xml:space="preserve">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2.3. В случае</w:t>
      </w:r>
      <w:proofErr w:type="gramStart"/>
      <w:r w:rsidRPr="00D07504">
        <w:rPr>
          <w:rFonts w:ascii="Times New Roman" w:hAnsi="Times New Roman" w:cs="Times New Roman"/>
          <w:sz w:val="24"/>
          <w:szCs w:val="24"/>
        </w:rPr>
        <w:t>,</w:t>
      </w:r>
      <w:proofErr w:type="gramEnd"/>
      <w:r w:rsidRPr="00D07504">
        <w:rPr>
          <w:rFonts w:ascii="Times New Roman" w:hAnsi="Times New Roman" w:cs="Times New Roman"/>
          <w:sz w:val="24"/>
          <w:szCs w:val="24"/>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 xml:space="preserve">Выйти </w:t>
      </w:r>
      <w:proofErr w:type="gramStart"/>
      <w:r w:rsidR="00DE7465" w:rsidRPr="00D07504">
        <w:rPr>
          <w:rFonts w:ascii="Times New Roman" w:hAnsi="Times New Roman" w:cs="Times New Roman"/>
          <w:sz w:val="24"/>
          <w:szCs w:val="24"/>
        </w:rPr>
        <w:t>к Заказчику с предложением о внесении изменений в документацию на выполнение</w:t>
      </w:r>
      <w:proofErr w:type="gramEnd"/>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D07504">
        <w:rPr>
          <w:rFonts w:eastAsiaTheme="minorHAnsi"/>
          <w:b w:val="0"/>
          <w:sz w:val="24"/>
          <w:szCs w:val="24"/>
          <w:lang w:eastAsia="en-US"/>
        </w:rPr>
        <w:t>последними</w:t>
      </w:r>
      <w:proofErr w:type="gramEnd"/>
      <w:r w:rsidRPr="00D07504">
        <w:rPr>
          <w:rFonts w:eastAsiaTheme="minorHAnsi"/>
          <w:b w:val="0"/>
          <w:sz w:val="24"/>
          <w:szCs w:val="24"/>
          <w:lang w:eastAsia="en-US"/>
        </w:rPr>
        <w:t xml:space="preserve">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 xml:space="preserve">По запросу Заказчика </w:t>
      </w:r>
      <w:proofErr w:type="gramStart"/>
      <w:r w:rsidR="00DE7465" w:rsidRPr="00D07504">
        <w:rPr>
          <w:rFonts w:ascii="Times New Roman" w:eastAsiaTheme="minorHAnsi" w:hAnsi="Times New Roman" w:cs="Times New Roman"/>
          <w:bCs/>
          <w:iCs/>
          <w:sz w:val="24"/>
          <w:szCs w:val="24"/>
          <w:lang w:eastAsia="en-US"/>
        </w:rPr>
        <w:t>предоставлять все необходимые документы</w:t>
      </w:r>
      <w:proofErr w:type="gramEnd"/>
      <w:r w:rsidR="00DE7465" w:rsidRPr="00D07504">
        <w:rPr>
          <w:rFonts w:ascii="Times New Roman" w:eastAsiaTheme="minorHAnsi" w:hAnsi="Times New Roman" w:cs="Times New Roman"/>
          <w:bCs/>
          <w:iCs/>
          <w:sz w:val="24"/>
          <w:szCs w:val="24"/>
          <w:lang w:eastAsia="en-US"/>
        </w:rPr>
        <w:t>,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proofErr w:type="gramStart"/>
      <w:r w:rsidRPr="00D07504">
        <w:rPr>
          <w:rFonts w:ascii="Times New Roman" w:eastAsia="Times New Roman" w:hAnsi="Times New Roman" w:cs="Times New Roman"/>
          <w:sz w:val="24"/>
          <w:szCs w:val="24"/>
          <w:lang w:eastAsia="zh-CN"/>
        </w:rPr>
        <w:t>,</w:t>
      </w:r>
      <w:proofErr w:type="gramEnd"/>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w:t>
      </w:r>
      <w:proofErr w:type="gramStart"/>
      <w:r w:rsidR="00DE7465" w:rsidRPr="00D07504">
        <w:rPr>
          <w:rFonts w:ascii="Times New Roman" w:hAnsi="Times New Roman" w:cs="Times New Roman"/>
          <w:sz w:val="24"/>
          <w:szCs w:val="24"/>
        </w:rPr>
        <w:t>дств вс</w:t>
      </w:r>
      <w:proofErr w:type="gramEnd"/>
      <w:r w:rsidR="00DE7465" w:rsidRPr="00D07504">
        <w:rPr>
          <w:rFonts w:ascii="Times New Roman" w:hAnsi="Times New Roman" w:cs="Times New Roman"/>
          <w:sz w:val="24"/>
          <w:szCs w:val="24"/>
        </w:rPr>
        <w:t>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lastRenderedPageBreak/>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9"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xml:space="preserve">) в течение 5 рабочих дней </w:t>
      </w:r>
      <w:proofErr w:type="gramStart"/>
      <w:r w:rsidRPr="00BC5B20">
        <w:rPr>
          <w:rFonts w:ascii="Times New Roman" w:hAnsi="Times New Roman" w:cs="Times New Roman"/>
          <w:bCs/>
          <w:iCs/>
          <w:color w:val="000000" w:themeColor="text1"/>
          <w:sz w:val="24"/>
          <w:szCs w:val="24"/>
        </w:rPr>
        <w:t>с даты заключения</w:t>
      </w:r>
      <w:proofErr w:type="gramEnd"/>
      <w:r w:rsidRPr="00BC5B20">
        <w:rPr>
          <w:rFonts w:ascii="Times New Roman" w:hAnsi="Times New Roman" w:cs="Times New Roman"/>
          <w:bCs/>
          <w:iCs/>
          <w:color w:val="000000" w:themeColor="text1"/>
          <w:sz w:val="24"/>
          <w:szCs w:val="24"/>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r>
      <w:proofErr w:type="gramStart"/>
      <w:r w:rsidRPr="00D07504">
        <w:rPr>
          <w:rFonts w:ascii="Times New Roman" w:hAnsi="Times New Roman" w:cs="Times New Roman"/>
          <w:sz w:val="24"/>
          <w:szCs w:val="24"/>
        </w:rPr>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roofErr w:type="gramEnd"/>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lastRenderedPageBreak/>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 xml:space="preserve">бъекта по отношению к первичным точкам, линиям и уровням, правильность положения уровней, размеров и </w:t>
      </w:r>
      <w:proofErr w:type="spellStart"/>
      <w:r w:rsidR="00DE7465" w:rsidRPr="00D07504">
        <w:rPr>
          <w:rFonts w:ascii="Times New Roman" w:hAnsi="Times New Roman" w:cs="Times New Roman"/>
          <w:sz w:val="24"/>
          <w:szCs w:val="24"/>
        </w:rPr>
        <w:t>соосности</w:t>
      </w:r>
      <w:proofErr w:type="spellEnd"/>
      <w:r w:rsidR="00DE7465" w:rsidRPr="00D07504">
        <w:rPr>
          <w:rFonts w:ascii="Times New Roman" w:hAnsi="Times New Roman" w:cs="Times New Roman"/>
          <w:sz w:val="24"/>
          <w:szCs w:val="24"/>
        </w:rPr>
        <w:t>.</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Готовность </w:t>
      </w:r>
      <w:proofErr w:type="spellStart"/>
      <w:r w:rsidRPr="00D07504">
        <w:rPr>
          <w:rFonts w:ascii="Times New Roman" w:hAnsi="Times New Roman" w:cs="Times New Roman"/>
          <w:sz w:val="24"/>
          <w:szCs w:val="24"/>
        </w:rPr>
        <w:t>освидетельствуемых</w:t>
      </w:r>
      <w:proofErr w:type="spellEnd"/>
      <w:r w:rsidRPr="00D07504">
        <w:rPr>
          <w:rFonts w:ascii="Times New Roman" w:hAnsi="Times New Roman" w:cs="Times New Roman"/>
          <w:sz w:val="24"/>
          <w:szCs w:val="24"/>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proofErr w:type="gramStart"/>
      <w:r w:rsidR="00007942" w:rsidRPr="00D07504">
        <w:rPr>
          <w:rFonts w:ascii="Times New Roman" w:hAnsi="Times New Roman" w:cs="Times New Roman"/>
          <w:sz w:val="24"/>
          <w:szCs w:val="24"/>
        </w:rPr>
        <w:t>,</w:t>
      </w:r>
      <w:proofErr w:type="gramEnd"/>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proofErr w:type="gramStart"/>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roofErr w:type="gramEnd"/>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lastRenderedPageBreak/>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 xml:space="preserve">Гарантийный срок исчисляется </w:t>
      </w:r>
      <w:proofErr w:type="gramStart"/>
      <w:r w:rsidRPr="00D07504">
        <w:rPr>
          <w:rFonts w:eastAsiaTheme="minorHAnsi"/>
          <w:b w:val="0"/>
          <w:sz w:val="24"/>
          <w:szCs w:val="24"/>
          <w:lang w:eastAsia="en-US"/>
        </w:rPr>
        <w:t>с даты выполнения</w:t>
      </w:r>
      <w:proofErr w:type="gramEnd"/>
      <w:r w:rsidRPr="00D07504">
        <w:rPr>
          <w:rFonts w:eastAsiaTheme="minorHAnsi"/>
          <w:b w:val="0"/>
          <w:sz w:val="24"/>
          <w:szCs w:val="24"/>
          <w:lang w:eastAsia="en-US"/>
        </w:rPr>
        <w:t xml:space="preserve">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 xml:space="preserve">.5. </w:t>
      </w:r>
      <w:proofErr w:type="gramStart"/>
      <w:r w:rsidR="00DE7465" w:rsidRPr="00D07504">
        <w:rPr>
          <w:rFonts w:ascii="Times New Roman" w:hAnsi="Times New Roman" w:cs="Times New Roman"/>
          <w:sz w:val="24"/>
          <w:szCs w:val="24"/>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lastRenderedPageBreak/>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w:t>
      </w:r>
      <w:proofErr w:type="gramStart"/>
      <w:r w:rsidR="002A652F" w:rsidRPr="00D07504">
        <w:rPr>
          <w:rFonts w:ascii="Times New Roman" w:hAnsi="Times New Roman" w:cs="Times New Roman"/>
          <w:sz w:val="24"/>
          <w:szCs w:val="24"/>
        </w:rPr>
        <w:t>ств Ст</w:t>
      </w:r>
      <w:proofErr w:type="gramEnd"/>
      <w:r w:rsidR="002A652F" w:rsidRPr="00D07504">
        <w:rPr>
          <w:rFonts w:ascii="Times New Roman" w:hAnsi="Times New Roman" w:cs="Times New Roman"/>
          <w:sz w:val="24"/>
          <w:szCs w:val="24"/>
        </w:rPr>
        <w:t>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proofErr w:type="gramStart"/>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D07504">
        <w:rPr>
          <w:rFonts w:ascii="Times New Roman" w:eastAsia="Times New Roman" w:hAnsi="Times New Roman" w:cs="Times New Roman"/>
          <w:color w:val="000000" w:themeColor="text1"/>
          <w:sz w:val="24"/>
          <w:szCs w:val="24"/>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w:t>
      </w:r>
      <w:proofErr w:type="gramStart"/>
      <w:r w:rsidR="002A652F" w:rsidRPr="00D07504">
        <w:rPr>
          <w:rFonts w:ascii="Times New Roman" w:eastAsia="Times New Roman" w:hAnsi="Times New Roman" w:cs="Times New Roman"/>
          <w:sz w:val="24"/>
          <w:szCs w:val="24"/>
          <w:lang w:eastAsia="ru-RU"/>
        </w:rPr>
        <w:t xml:space="preserve">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w:t>
      </w:r>
      <w:r w:rsidR="002A652F" w:rsidRPr="00D07504">
        <w:rPr>
          <w:rFonts w:ascii="Times New Roman" w:eastAsia="Times New Roman" w:hAnsi="Times New Roman" w:cs="Times New Roman"/>
          <w:sz w:val="24"/>
          <w:szCs w:val="24"/>
          <w:lang w:eastAsia="ru-RU"/>
        </w:rPr>
        <w:lastRenderedPageBreak/>
        <w:t>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D07504">
        <w:rPr>
          <w:rFonts w:ascii="Times New Roman" w:eastAsia="Times New Roman" w:hAnsi="Times New Roman" w:cs="Times New Roman"/>
          <w:sz w:val="24"/>
          <w:szCs w:val="24"/>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 xml:space="preserve">.1. Каждая из Сторон заключила Договор, основываясь на достоверности, актуальности и полноте следующих сведений, сообщенных ей перед его заключением </w:t>
      </w:r>
      <w:r w:rsidR="00A740EA" w:rsidRPr="00D07504">
        <w:rPr>
          <w:rFonts w:ascii="Times New Roman" w:hAnsi="Times New Roman" w:cs="Times New Roman"/>
          <w:sz w:val="24"/>
          <w:szCs w:val="24"/>
        </w:rPr>
        <w:lastRenderedPageBreak/>
        <w:t>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w:t>
      </w:r>
      <w:proofErr w:type="gramStart"/>
      <w:r w:rsidRPr="00D07504">
        <w:rPr>
          <w:rFonts w:ascii="Times New Roman" w:eastAsiaTheme="minorHAnsi" w:hAnsi="Times New Roman" w:cs="Times New Roman"/>
          <w:sz w:val="24"/>
          <w:szCs w:val="24"/>
          <w:lang w:eastAsia="en-US"/>
        </w:rPr>
        <w:t>совершает и не</w:t>
      </w:r>
      <w:proofErr w:type="gramEnd"/>
      <w:r w:rsidRPr="00D07504">
        <w:rPr>
          <w:rFonts w:ascii="Times New Roman" w:eastAsiaTheme="minorHAnsi" w:hAnsi="Times New Roman" w:cs="Times New Roman"/>
          <w:sz w:val="24"/>
          <w:szCs w:val="24"/>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предъявление налоговыми органами требований к Заказчику об уплате налогов, </w:t>
      </w:r>
      <w:r w:rsidRPr="00D07504">
        <w:rPr>
          <w:rFonts w:ascii="Times New Roman" w:eastAsiaTheme="minorHAnsi" w:hAnsi="Times New Roman" w:cs="Times New Roman"/>
          <w:sz w:val="24"/>
          <w:szCs w:val="24"/>
          <w:lang w:eastAsia="en-US"/>
        </w:rPr>
        <w:lastRenderedPageBreak/>
        <w:t>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proofErr w:type="gramStart"/>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07504">
        <w:rPr>
          <w:rFonts w:ascii="Times New Roman" w:eastAsiaTheme="minorHAnsi" w:hAnsi="Times New Roman" w:cs="Times New Roman"/>
          <w:sz w:val="24"/>
          <w:szCs w:val="24"/>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w:t>
      </w:r>
      <w:proofErr w:type="gramStart"/>
      <w:r w:rsidR="00791086" w:rsidRPr="00D07504">
        <w:rPr>
          <w:rFonts w:ascii="Times New Roman" w:eastAsiaTheme="minorHAnsi" w:hAnsi="Times New Roman" w:cs="Times New Roman"/>
          <w:sz w:val="24"/>
          <w:szCs w:val="24"/>
          <w:lang w:eastAsia="en-US"/>
        </w:rPr>
        <w:t>с даты выставления</w:t>
      </w:r>
      <w:proofErr w:type="gramEnd"/>
      <w:r w:rsidR="00791086" w:rsidRPr="00D07504">
        <w:rPr>
          <w:rFonts w:ascii="Times New Roman" w:eastAsiaTheme="minorHAnsi" w:hAnsi="Times New Roman" w:cs="Times New Roman"/>
          <w:sz w:val="24"/>
          <w:szCs w:val="24"/>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proofErr w:type="gramStart"/>
      <w:r w:rsidR="001C1BFC" w:rsidRPr="00D07504">
        <w:rPr>
          <w:rFonts w:ascii="Times New Roman" w:eastAsiaTheme="minorHAnsi" w:hAnsi="Times New Roman" w:cs="Times New Roman"/>
          <w:sz w:val="24"/>
          <w:szCs w:val="24"/>
          <w:lang w:eastAsia="en-US"/>
        </w:rPr>
        <w:t>Указанные</w:t>
      </w:r>
      <w:proofErr w:type="gramEnd"/>
      <w:r w:rsidR="001C1BFC" w:rsidRPr="00D07504">
        <w:rPr>
          <w:rFonts w:ascii="Times New Roman" w:eastAsiaTheme="minorHAnsi" w:hAnsi="Times New Roman" w:cs="Times New Roman"/>
          <w:sz w:val="24"/>
          <w:szCs w:val="24"/>
          <w:lang w:eastAsia="en-US"/>
        </w:rPr>
        <w:t xml:space="preserve">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D07504">
        <w:rPr>
          <w:rFonts w:ascii="Times New Roman" w:eastAsiaTheme="minorHAnsi" w:hAnsi="Times New Roman" w:cs="Times New Roman"/>
          <w:sz w:val="24"/>
          <w:szCs w:val="24"/>
          <w:lang w:eastAsia="en-US"/>
        </w:rPr>
        <w:t>неоспаривания</w:t>
      </w:r>
      <w:proofErr w:type="spellEnd"/>
      <w:r w:rsidR="00791086" w:rsidRPr="00D07504">
        <w:rPr>
          <w:rFonts w:ascii="Times New Roman" w:eastAsiaTheme="minorHAnsi" w:hAnsi="Times New Roman" w:cs="Times New Roman"/>
          <w:sz w:val="24"/>
          <w:szCs w:val="24"/>
          <w:lang w:eastAsia="en-US"/>
        </w:rPr>
        <w:t xml:space="preserve">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xml:space="preserve">. </w:t>
      </w:r>
      <w:proofErr w:type="gramStart"/>
      <w:r w:rsidR="005D1F62" w:rsidRPr="00D07504">
        <w:rPr>
          <w:rFonts w:ascii="Times New Roman" w:eastAsiaTheme="minorHAnsi" w:hAnsi="Times New Roman" w:cs="Times New Roman"/>
          <w:sz w:val="24"/>
          <w:szCs w:val="24"/>
          <w:lang w:eastAsia="en-US"/>
        </w:rPr>
        <w:t>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D07504">
        <w:rPr>
          <w:rFonts w:ascii="Times New Roman" w:hAnsi="Times New Roman" w:cs="Times New Roman"/>
          <w:sz w:val="24"/>
          <w:szCs w:val="24"/>
        </w:rPr>
        <w:t>т.ч</w:t>
      </w:r>
      <w:proofErr w:type="spellEnd"/>
      <w:r w:rsidR="00DF3C12" w:rsidRPr="00D07504">
        <w:rPr>
          <w:rFonts w:ascii="Times New Roman" w:hAnsi="Times New Roman" w:cs="Times New Roman"/>
          <w:sz w:val="24"/>
          <w:szCs w:val="24"/>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w:t>
      </w:r>
      <w:r w:rsidRPr="00D07504">
        <w:rPr>
          <w:rFonts w:ascii="Times New Roman" w:eastAsiaTheme="minorHAnsi" w:hAnsi="Times New Roman" w:cs="Times New Roman"/>
          <w:sz w:val="24"/>
          <w:szCs w:val="24"/>
          <w:lang w:eastAsia="en-US"/>
        </w:rPr>
        <w:lastRenderedPageBreak/>
        <w:t xml:space="preserve">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w:t>
      </w:r>
      <w:proofErr w:type="gramStart"/>
      <w:r w:rsidRPr="00D07504">
        <w:rPr>
          <w:rFonts w:ascii="Times New Roman" w:eastAsiaTheme="minorHAnsi" w:hAnsi="Times New Roman" w:cs="Times New Roman"/>
          <w:sz w:val="24"/>
          <w:szCs w:val="24"/>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07504">
        <w:rPr>
          <w:rFonts w:ascii="Times New Roman" w:eastAsiaTheme="minorHAnsi" w:hAnsi="Times New Roman" w:cs="Times New Roman"/>
          <w:sz w:val="24"/>
          <w:szCs w:val="24"/>
          <w:lang w:eastAsia="en-US"/>
        </w:rPr>
        <w:t xml:space="preserve">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lastRenderedPageBreak/>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w:t>
      </w:r>
      <w:proofErr w:type="gramStart"/>
      <w:r w:rsidRPr="00D07504">
        <w:rPr>
          <w:rFonts w:ascii="Times New Roman" w:eastAsia="Calibri" w:hAnsi="Times New Roman" w:cs="Times New Roman"/>
          <w:sz w:val="24"/>
          <w:szCs w:val="24"/>
        </w:rPr>
        <w:t>Подрядчику</w:t>
      </w:r>
      <w:proofErr w:type="gramEnd"/>
      <w:r w:rsidRPr="00D07504">
        <w:rPr>
          <w:rFonts w:ascii="Times New Roman" w:eastAsia="Calibri" w:hAnsi="Times New Roman" w:cs="Times New Roman"/>
          <w:sz w:val="24"/>
          <w:szCs w:val="24"/>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D07504">
        <w:rPr>
          <w:rFonts w:ascii="Times New Roman" w:eastAsia="Calibri" w:hAnsi="Times New Roman" w:cs="Times New Roman"/>
          <w:sz w:val="24"/>
          <w:szCs w:val="24"/>
        </w:rPr>
        <w:t>Заказчику</w:t>
      </w:r>
      <w:proofErr w:type="gramEnd"/>
      <w:r w:rsidRPr="00D07504">
        <w:rPr>
          <w:rFonts w:ascii="Times New Roman" w:eastAsia="Calibri" w:hAnsi="Times New Roman" w:cs="Times New Roman"/>
          <w:sz w:val="24"/>
          <w:szCs w:val="24"/>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w:t>
      </w:r>
      <w:r w:rsidRPr="00D07504">
        <w:rPr>
          <w:rFonts w:ascii="Times New Roman" w:eastAsia="Calibri" w:hAnsi="Times New Roman" w:cs="Times New Roman"/>
          <w:sz w:val="24"/>
          <w:szCs w:val="24"/>
        </w:rPr>
        <w:lastRenderedPageBreak/>
        <w:t xml:space="preserve">передачи Заказчику. В случае </w:t>
      </w:r>
      <w:proofErr w:type="spellStart"/>
      <w:r w:rsidRPr="00D07504">
        <w:rPr>
          <w:rFonts w:ascii="Times New Roman" w:eastAsia="Calibri" w:hAnsi="Times New Roman" w:cs="Times New Roman"/>
          <w:sz w:val="24"/>
          <w:szCs w:val="24"/>
        </w:rPr>
        <w:t>неподписания</w:t>
      </w:r>
      <w:proofErr w:type="spellEnd"/>
      <w:r w:rsidRPr="00D07504">
        <w:rPr>
          <w:rFonts w:ascii="Times New Roman" w:eastAsia="Calibri" w:hAnsi="Times New Roman" w:cs="Times New Roman"/>
          <w:sz w:val="24"/>
          <w:szCs w:val="24"/>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w:t>
      </w:r>
      <w:proofErr w:type="gramStart"/>
      <w:r w:rsidRPr="00D07504">
        <w:rPr>
          <w:rFonts w:ascii="Times New Roman" w:eastAsia="Calibri" w:hAnsi="Times New Roman" w:cs="Times New Roman"/>
          <w:sz w:val="24"/>
          <w:szCs w:val="24"/>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D07504">
        <w:rPr>
          <w:rFonts w:ascii="Times New Roman" w:eastAsia="Calibri" w:hAnsi="Times New Roman" w:cs="Times New Roman"/>
          <w:sz w:val="24"/>
          <w:szCs w:val="24"/>
        </w:rPr>
        <w:t xml:space="preserve">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.5. </w:t>
      </w:r>
      <w:proofErr w:type="gramStart"/>
      <w:r w:rsidR="0048430A" w:rsidRPr="00D07504">
        <w:rPr>
          <w:rFonts w:ascii="Times New Roman" w:eastAsiaTheme="minorHAnsi" w:hAnsi="Times New Roman" w:cs="Times New Roman"/>
          <w:sz w:val="24"/>
          <w:szCs w:val="24"/>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D07504">
        <w:rPr>
          <w:rFonts w:ascii="Times New Roman" w:eastAsiaTheme="minorHAnsi" w:hAnsi="Times New Roman" w:cs="Times New Roman"/>
          <w:sz w:val="24"/>
          <w:szCs w:val="24"/>
          <w:lang w:eastAsia="en-US"/>
        </w:rPr>
        <w:t xml:space="preserve"> </w:t>
      </w:r>
      <w:proofErr w:type="gramStart"/>
      <w:r w:rsidR="0048430A" w:rsidRPr="00D07504">
        <w:rPr>
          <w:rFonts w:ascii="Times New Roman" w:eastAsiaTheme="minorHAnsi" w:hAnsi="Times New Roman" w:cs="Times New Roman"/>
          <w:sz w:val="24"/>
          <w:szCs w:val="24"/>
          <w:lang w:eastAsia="en-US"/>
        </w:rPr>
        <w:t>любом</w:t>
      </w:r>
      <w:proofErr w:type="gramEnd"/>
      <w:r w:rsidR="0048430A" w:rsidRPr="00D07504">
        <w:rPr>
          <w:rFonts w:ascii="Times New Roman" w:eastAsiaTheme="minorHAnsi" w:hAnsi="Times New Roman" w:cs="Times New Roman"/>
          <w:sz w:val="24"/>
          <w:szCs w:val="24"/>
          <w:lang w:eastAsia="en-US"/>
        </w:rPr>
        <w:t xml:space="preserve">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lastRenderedPageBreak/>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Место нахождения: 443056, </w:t>
            </w:r>
            <w:proofErr w:type="gramStart"/>
            <w:r w:rsidRPr="00D07504">
              <w:rPr>
                <w:rFonts w:ascii="Times New Roman" w:eastAsia="Times New Roman" w:hAnsi="Times New Roman" w:cs="Times New Roman"/>
                <w:bCs/>
                <w:sz w:val="24"/>
                <w:szCs w:val="24"/>
                <w:lang w:eastAsia="ru-RU"/>
              </w:rPr>
              <w:t>Самарская</w:t>
            </w:r>
            <w:proofErr w:type="gramEnd"/>
            <w:r w:rsidRPr="00D07504">
              <w:rPr>
                <w:rFonts w:ascii="Times New Roman" w:eastAsia="Times New Roman" w:hAnsi="Times New Roman" w:cs="Times New Roman"/>
                <w:bCs/>
                <w:sz w:val="24"/>
                <w:szCs w:val="24"/>
                <w:lang w:eastAsia="ru-RU"/>
              </w:rPr>
              <w:t xml:space="preserve">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proofErr w:type="spellStart"/>
            <w:r w:rsidRPr="00D07504">
              <w:rPr>
                <w:rFonts w:ascii="Times New Roman" w:eastAsia="Times New Roman" w:hAnsi="Times New Roman" w:cs="Times New Roman"/>
                <w:bCs/>
                <w:sz w:val="24"/>
                <w:szCs w:val="24"/>
                <w:lang w:eastAsia="zh-CN"/>
              </w:rPr>
              <w:t>кор</w:t>
            </w:r>
            <w:proofErr w:type="gramStart"/>
            <w:r w:rsidRPr="00D07504">
              <w:rPr>
                <w:rFonts w:ascii="Times New Roman" w:eastAsia="Times New Roman" w:hAnsi="Times New Roman" w:cs="Times New Roman"/>
                <w:bCs/>
                <w:sz w:val="24"/>
                <w:szCs w:val="24"/>
                <w:lang w:eastAsia="zh-CN"/>
              </w:rPr>
              <w:t>.с</w:t>
            </w:r>
            <w:proofErr w:type="gramEnd"/>
            <w:r w:rsidRPr="00D07504">
              <w:rPr>
                <w:rFonts w:ascii="Times New Roman" w:eastAsia="Times New Roman" w:hAnsi="Times New Roman" w:cs="Times New Roman"/>
                <w:bCs/>
                <w:sz w:val="24"/>
                <w:szCs w:val="24"/>
                <w:lang w:eastAsia="zh-CN"/>
              </w:rPr>
              <w:t>чет</w:t>
            </w:r>
            <w:proofErr w:type="spellEnd"/>
            <w:r w:rsidRPr="00D07504">
              <w:rPr>
                <w:rFonts w:ascii="Times New Roman" w:eastAsia="Times New Roman" w:hAnsi="Times New Roman" w:cs="Times New Roman"/>
                <w:bCs/>
                <w:sz w:val="24"/>
                <w:szCs w:val="24"/>
                <w:lang w:eastAsia="zh-CN"/>
              </w:rPr>
              <w:t xml:space="preserve">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25D35"/>
    <w:rsid w:val="00147281"/>
    <w:rsid w:val="00152126"/>
    <w:rsid w:val="00155B22"/>
    <w:rsid w:val="001833C2"/>
    <w:rsid w:val="001C1BFC"/>
    <w:rsid w:val="001C44B4"/>
    <w:rsid w:val="002011F6"/>
    <w:rsid w:val="0020651B"/>
    <w:rsid w:val="002120B4"/>
    <w:rsid w:val="0023254C"/>
    <w:rsid w:val="002378EC"/>
    <w:rsid w:val="00240B2B"/>
    <w:rsid w:val="00262F48"/>
    <w:rsid w:val="00267B77"/>
    <w:rsid w:val="002749DC"/>
    <w:rsid w:val="00294CE0"/>
    <w:rsid w:val="002A279A"/>
    <w:rsid w:val="002A652F"/>
    <w:rsid w:val="002B58F7"/>
    <w:rsid w:val="002D07F7"/>
    <w:rsid w:val="002D6466"/>
    <w:rsid w:val="002F5F2D"/>
    <w:rsid w:val="002F74C5"/>
    <w:rsid w:val="00312E4E"/>
    <w:rsid w:val="00342BDE"/>
    <w:rsid w:val="00377337"/>
    <w:rsid w:val="003B03A2"/>
    <w:rsid w:val="003B1CCA"/>
    <w:rsid w:val="003C1980"/>
    <w:rsid w:val="003F76A4"/>
    <w:rsid w:val="00421096"/>
    <w:rsid w:val="00436808"/>
    <w:rsid w:val="0045197B"/>
    <w:rsid w:val="00453AF3"/>
    <w:rsid w:val="0048430A"/>
    <w:rsid w:val="004861C8"/>
    <w:rsid w:val="004C521D"/>
    <w:rsid w:val="004D5EF3"/>
    <w:rsid w:val="004E5194"/>
    <w:rsid w:val="004E7B4D"/>
    <w:rsid w:val="00513ADA"/>
    <w:rsid w:val="005216AE"/>
    <w:rsid w:val="00530F89"/>
    <w:rsid w:val="005363F0"/>
    <w:rsid w:val="00544892"/>
    <w:rsid w:val="005619A1"/>
    <w:rsid w:val="00567C03"/>
    <w:rsid w:val="005814CF"/>
    <w:rsid w:val="00593977"/>
    <w:rsid w:val="005A633B"/>
    <w:rsid w:val="005C2433"/>
    <w:rsid w:val="005C71F5"/>
    <w:rsid w:val="005D1F62"/>
    <w:rsid w:val="005F28AE"/>
    <w:rsid w:val="00601A7A"/>
    <w:rsid w:val="00615DE1"/>
    <w:rsid w:val="00656E9D"/>
    <w:rsid w:val="00665CBE"/>
    <w:rsid w:val="00670C45"/>
    <w:rsid w:val="00670F79"/>
    <w:rsid w:val="006866C4"/>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D5B7E"/>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368C1"/>
    <w:rsid w:val="00974E05"/>
    <w:rsid w:val="009823E4"/>
    <w:rsid w:val="00984A29"/>
    <w:rsid w:val="00996A1B"/>
    <w:rsid w:val="009A3F5D"/>
    <w:rsid w:val="009A6F37"/>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A6098"/>
    <w:rsid w:val="00DC2577"/>
    <w:rsid w:val="00DE7465"/>
    <w:rsid w:val="00DF3C12"/>
    <w:rsid w:val="00DF44DF"/>
    <w:rsid w:val="00DF5D60"/>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10711364">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9F674-235F-4330-96DF-5F8FE2956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15</Pages>
  <Words>7097</Words>
  <Characters>40453</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22</cp:revision>
  <dcterms:created xsi:type="dcterms:W3CDTF">2023-01-25T08:14:00Z</dcterms:created>
  <dcterms:modified xsi:type="dcterms:W3CDTF">2023-07-26T10:08:00Z</dcterms:modified>
</cp:coreProperties>
</file>